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tbl>
      <w:tblPr>
        <w:tblStyle w:val="Style_1"/>
        <w:tblLayout w:type="fixed"/>
      </w:tblPr>
      <w:tblGrid>
        <w:gridCol w:w="2093"/>
        <w:gridCol w:w="1984"/>
        <w:gridCol w:w="2127"/>
        <w:gridCol w:w="1979"/>
        <w:gridCol w:w="2131"/>
        <w:gridCol w:w="2268"/>
        <w:gridCol w:w="2127"/>
        <w:gridCol w:w="1924"/>
      </w:tblGrid>
      <w:tr>
        <w:trPr>
          <w:trHeight w:hRule="atLeast" w:val="2325"/>
        </w:trPr>
        <w:tc>
          <w:tcPr>
            <w:tcW w:type="dxa" w:w="20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Стоимость набора продуктов питания для детей в возрасте от 6 лет 6 месяцев до 10 лет (СП</w:t>
            </w:r>
            <w:r>
              <w:rPr>
                <w:rFonts w:ascii="Times New Roman" w:hAnsi="Times New Roman"/>
                <w:b w:val="1"/>
              </w:rPr>
              <w:t>1</w:t>
            </w:r>
            <w:r>
              <w:rPr>
                <w:rFonts w:ascii="Times New Roman" w:hAnsi="Times New Roman"/>
                <w:b w:val="1"/>
              </w:rPr>
              <w:t xml:space="preserve">) руб. </w:t>
            </w:r>
            <w:r>
              <w:rPr>
                <w:rFonts w:ascii="Times New Roman" w:hAnsi="Times New Roman"/>
              </w:rPr>
              <w:t>(на 1 ребенка в день)</w:t>
            </w:r>
          </w:p>
        </w:tc>
        <w:tc>
          <w:tcPr>
            <w:tcW w:type="dxa" w:w="198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Стоимость набора продуктов питания для детей в возрасте от 11 до 17 лет (СП</w:t>
            </w:r>
            <w:r>
              <w:rPr>
                <w:rFonts w:ascii="Times New Roman" w:hAnsi="Times New Roman"/>
                <w:b w:val="1"/>
              </w:rPr>
              <w:t>2</w:t>
            </w:r>
            <w:r>
              <w:rPr>
                <w:rFonts w:ascii="Times New Roman" w:hAnsi="Times New Roman"/>
                <w:b w:val="1"/>
              </w:rPr>
              <w:t xml:space="preserve">) руб.                                                     </w:t>
            </w:r>
            <w:r>
              <w:rPr>
                <w:rFonts w:ascii="Times New Roman" w:hAnsi="Times New Roman"/>
              </w:rPr>
              <w:t>(на 1 ребенка в день)</w:t>
            </w:r>
          </w:p>
        </w:tc>
        <w:tc>
          <w:tcPr>
            <w:tcW w:type="dxa" w:w="2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Стоимость набора продуктов питания для детей в возрасте от 6 лет 6 месяцев до 10 лет, руб. </w:t>
            </w:r>
            <w:r>
              <w:rPr>
                <w:rFonts w:ascii="Times New Roman" w:hAnsi="Times New Roman"/>
              </w:rPr>
              <w:t>(на 1 ребенка на 21 день)</w:t>
            </w:r>
          </w:p>
        </w:tc>
        <w:tc>
          <w:tcPr>
            <w:tcW w:type="dxa" w:w="19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Стоимость набора продуктов питания для детей  в возрасте от 11 до 17 лет, руб. </w:t>
            </w:r>
            <w:r>
              <w:rPr>
                <w:rFonts w:ascii="Times New Roman" w:hAnsi="Times New Roman"/>
              </w:rPr>
              <w:t>(на 1 ребенка на 21 день)</w:t>
            </w:r>
          </w:p>
        </w:tc>
        <w:tc>
          <w:tcPr>
            <w:tcW w:type="dxa" w:w="213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Годовой норматив объема материальных затрат по обеспечению отдыха и оздоровления детей в возрасте от 6 лет 6 месяцев до 10 лет (М1j) руб. </w:t>
            </w:r>
            <w:r>
              <w:rPr>
                <w:rFonts w:ascii="Times New Roman" w:hAnsi="Times New Roman"/>
              </w:rPr>
              <w:t>(на 1 ребенка)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Годовой норматив объема материальных затрат по обеспечению отдыха и оздоровления детей в возрасте от 11 до 17 лет (М2j) руб.</w:t>
            </w:r>
            <w:r>
              <w:rPr>
                <w:rFonts w:ascii="Times New Roman" w:hAnsi="Times New Roman"/>
              </w:rPr>
              <w:t xml:space="preserve"> (на 1 ребенка)</w:t>
            </w:r>
          </w:p>
        </w:tc>
        <w:tc>
          <w:tcPr>
            <w:tcW w:type="dxa" w:w="21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 xml:space="preserve">Норматив расходов по обеспечению отдыха и оздоровления детей в возрасте от 6 лет 6 месяцев до 10 лет   (N1) руб. </w:t>
            </w:r>
            <w:r>
              <w:rPr>
                <w:rFonts w:ascii="Times New Roman" w:hAnsi="Times New Roman"/>
                <w:b w:val="1"/>
                <w:color w:val="FF0000"/>
              </w:rPr>
              <w:t>(на 1 ребенка в год</w:t>
            </w:r>
            <w:r>
              <w:rPr>
                <w:rFonts w:ascii="Times New Roman" w:hAnsi="Times New Roman"/>
                <w:b w:val="1"/>
                <w:color w:val="FF0000"/>
              </w:rPr>
              <w:t>)</w:t>
            </w:r>
          </w:p>
        </w:tc>
        <w:tc>
          <w:tcPr>
            <w:tcW w:type="dxa" w:w="19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 xml:space="preserve">Норматив расходов по обеспечению отдыха и оздоровления детей в возрасте от 11 до 17 лет </w:t>
            </w:r>
            <w:r>
              <w:rPr>
                <w:rFonts w:ascii="Times New Roman" w:hAnsi="Times New Roman"/>
                <w:b w:val="1"/>
                <w:color w:val="FF0000"/>
              </w:rPr>
              <w:br/>
            </w:r>
            <w:r>
              <w:rPr>
                <w:rFonts w:ascii="Times New Roman" w:hAnsi="Times New Roman"/>
                <w:b w:val="1"/>
                <w:color w:val="FF0000"/>
              </w:rPr>
              <w:t xml:space="preserve">(N2) руб. </w:t>
            </w:r>
            <w:r>
              <w:rPr>
                <w:rFonts w:ascii="Times New Roman" w:hAnsi="Times New Roman"/>
                <w:b w:val="1"/>
                <w:color w:val="FF0000"/>
              </w:rPr>
              <w:t>(на 1 ребенка в год)</w:t>
            </w:r>
          </w:p>
        </w:tc>
      </w:tr>
      <w:tr>
        <w:trPr>
          <w:trHeight w:hRule="atLeast" w:val="495"/>
        </w:trPr>
        <w:tc>
          <w:tcPr>
            <w:tcW w:type="dxa" w:w="20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 год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 год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 год</w:t>
            </w:r>
          </w:p>
        </w:tc>
        <w:tc>
          <w:tcPr>
            <w:tcW w:type="dxa" w:w="19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 год</w:t>
            </w:r>
          </w:p>
        </w:tc>
        <w:tc>
          <w:tcPr>
            <w:tcW w:type="dxa" w:w="21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 год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2025 год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2025 год</w:t>
            </w:r>
          </w:p>
        </w:tc>
        <w:tc>
          <w:tcPr>
            <w:tcW w:type="dxa" w:w="1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2025 год</w:t>
            </w:r>
          </w:p>
        </w:tc>
      </w:tr>
      <w:tr>
        <w:trPr>
          <w:trHeight w:hRule="atLeast" w:val="315"/>
        </w:trPr>
        <w:tc>
          <w:tcPr>
            <w:tcW w:type="dxa" w:w="209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124,88</w:t>
            </w: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3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144,57</w:t>
            </w:r>
          </w:p>
          <w:p w14:paraId="15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16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2 622,48</w:t>
            </w:r>
          </w:p>
          <w:p w14:paraId="18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19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19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3 035,97</w:t>
            </w:r>
          </w:p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C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262,25</w:t>
            </w: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</w:p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303,60</w:t>
            </w: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type="dxa" w:w="21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2 884,73</w:t>
            </w:r>
          </w:p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(полная</w:t>
            </w:r>
          </w:p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 xml:space="preserve"> стоимость путевки)</w:t>
            </w: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 </w:t>
            </w: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 </w:t>
            </w:r>
          </w:p>
        </w:tc>
        <w:tc>
          <w:tcPr>
            <w:tcW w:type="dxa" w:w="1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 w:val="1"/>
                <w:color w:val="FF0000"/>
              </w:rPr>
              <w:t>3 339,57</w:t>
            </w:r>
          </w:p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(полная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 xml:space="preserve"> стоимость путевки)</w:t>
            </w: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FF0000"/>
              </w:rPr>
            </w:pPr>
          </w:p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 </w:t>
            </w:r>
          </w:p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FF0000"/>
              </w:rPr>
            </w:pPr>
            <w:r>
              <w:rPr>
                <w:rFonts w:ascii="Times New Roman" w:hAnsi="Times New Roman"/>
                <w:b w:val="1"/>
                <w:color w:val="FF0000"/>
              </w:rPr>
              <w:t> </w:t>
            </w:r>
          </w:p>
        </w:tc>
      </w:tr>
    </w:tbl>
    <w:p w14:paraId="2F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2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2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2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2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2025-06-02T10:05:49Z</dcterms:modified>
</cp:coreProperties>
</file>